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color w:val="FF0000"/>
          <w:sz w:val="28"/>
          <w:szCs w:val="32"/>
        </w:rPr>
      </w:pPr>
      <w:r>
        <w:rPr>
          <w:rFonts w:cs="Arial" w:ascii="Arial" w:hAnsi="Arial"/>
          <w:b/>
          <w:color w:val="FF0000"/>
          <w:sz w:val="28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28"/>
          <w:szCs w:val="32"/>
        </w:rPr>
        <w:t>Sandwell Stop and Search Scrutiny panel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Location:</w:t>
      </w:r>
      <w:r>
        <w:rPr>
          <w:rFonts w:cs="Arial" w:ascii="Arial" w:hAnsi="Arial"/>
        </w:rPr>
        <w:t xml:space="preserve"> West Bromwich Police Station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Date and Time:</w:t>
      </w:r>
      <w:r>
        <w:rPr>
          <w:rFonts w:cs="Arial" w:ascii="Arial" w:hAnsi="Arial"/>
        </w:rPr>
        <w:t xml:space="preserve"> 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>/0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>/2024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5720" distB="45720" distL="114300" distR="114300" simplePos="0" locked="0" layoutInCell="1" allowOverlap="1" relativeHeight="4">
                <wp:simplePos x="0" y="0"/>
                <wp:positionH relativeFrom="column">
                  <wp:posOffset>3355340</wp:posOffset>
                </wp:positionH>
                <wp:positionV relativeFrom="paragraph">
                  <wp:posOffset>262255</wp:posOffset>
                </wp:positionV>
                <wp:extent cx="1520190" cy="1322705"/>
                <wp:effectExtent l="0" t="0" r="5715" b="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60" cy="13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Apologises: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Darnish Amraz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Sarabjit Gakhal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Jas Ubhi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fillcolor="white" stroked="f" style="position:absolute;margin-left:264.2pt;margin-top:20.65pt;width:119.6pt;height:104.05pt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Apologises:</w:t>
                      </w:r>
                    </w:p>
                    <w:p>
                      <w:pPr>
                        <w:pStyle w:val="FrameContents"/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Darnish Amraz</w:t>
                      </w:r>
                    </w:p>
                    <w:p>
                      <w:pPr>
                        <w:pStyle w:val="FrameContents"/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Sarabjit Gakhal</w:t>
                      </w:r>
                    </w:p>
                    <w:p>
                      <w:pPr>
                        <w:pStyle w:val="FrameContents"/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Jas Ubhi</w:t>
                      </w:r>
                    </w:p>
                    <w:p>
                      <w:pPr>
                        <w:pStyle w:val="FrameContents"/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 Attendance</w:t>
      </w:r>
      <w:r>
        <w:rPr>
          <w:rFonts w:cs="Arial" w:ascii="Arial" w:hAnsi="Arial"/>
        </w:rPr>
        <w:t>:</w:t>
      </w:r>
    </w:p>
    <w:p>
      <w:pPr>
        <w:pStyle w:val="Normal"/>
        <w:spacing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WMP Force Rep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Sgt Jennifer Griffin (JG)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</w:rPr>
        <w:t>PC Leon Mittoo</w:t>
      </w:r>
      <w:r>
        <w:rPr>
          <w:rFonts w:cs="Arial" w:ascii="Arial" w:hAnsi="Arial"/>
        </w:rPr>
        <w:t xml:space="preserve"> (L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OPCC Rep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Shezè Malik (SM)</w:t>
      </w:r>
    </w:p>
    <w:p>
      <w:pPr>
        <w:pStyle w:val="Normal"/>
        <w:spacing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cs="Arial" w:ascii="Arial" w:hAnsi="Arial"/>
          <w:u w:val="single"/>
        </w:rPr>
        <w:t>Panel Members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Deep Sandhu </w:t>
      </w:r>
      <w:r>
        <w:rPr>
          <w:rFonts w:cs="Arial" w:ascii="Arial" w:hAnsi="Arial"/>
          <w:b/>
        </w:rPr>
        <w:t>Chair</w:t>
      </w:r>
      <w:r>
        <w:rPr>
          <w:rFonts w:cs="Arial" w:ascii="Arial" w:hAnsi="Arial"/>
        </w:rPr>
        <w:t>(DS)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Peter Hoare </w:t>
      </w:r>
      <w:r>
        <w:rPr>
          <w:rFonts w:cs="Arial" w:ascii="Arial" w:hAnsi="Arial"/>
          <w:b/>
        </w:rPr>
        <w:t>Vice-Chair</w:t>
      </w:r>
      <w:r>
        <w:rPr>
          <w:rFonts w:cs="Arial" w:ascii="Arial" w:hAnsi="Arial"/>
        </w:rPr>
        <w:t>(PH)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Harjinder Rai (HR)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2"/>
        </w:rPr>
        <w:t>Joyce Haye (JH)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Nico Singh Bailey (NB)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Sofia Kaur (SK)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Lisa Hill (LH)</w:t>
      </w:r>
    </w:p>
    <w:p>
      <w:pPr>
        <w:pStyle w:val="Normal"/>
        <w:spacing w:before="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Kayleigh Brown (KB)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3971"/>
        <w:gridCol w:w="4486"/>
      </w:tblGrid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 xml:space="preserve">Item Discussed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6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 xml:space="preserve">Actions </w:t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1.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Welcome and introduction done by Chair DS and introduction done by </w:t>
            </w:r>
            <w:r>
              <w:rPr>
                <w:rFonts w:cs="Arial" w:ascii="Arial" w:hAnsi="Arial"/>
                <w:color w:val="000000" w:themeColor="text1"/>
              </w:rPr>
              <w:t xml:space="preserve">WMP </w:t>
            </w:r>
            <w:r>
              <w:rPr>
                <w:rFonts w:cs="Arial" w:ascii="Arial" w:hAnsi="Arial"/>
                <w:color w:val="000000" w:themeColor="text1"/>
              </w:rPr>
              <w:t>Lead Sgt JG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DS asked panel if there were any matters they would like to raise in regards to the previous meeting/ minutes or anything else.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No matters raised</w:t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2.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>Stop and Search</w:t>
            </w:r>
            <w:r>
              <w:rPr>
                <w:rFonts w:cs="Arial" w:ascii="Arial" w:hAnsi="Arial"/>
                <w:color w:val="000000" w:themeColor="text1"/>
              </w:rPr>
              <w:t xml:space="preserve"> Body Worn Video  review – randomly selected by Chair DS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Chair decided to review BWV footages / records first followed by Data.</w:t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4 BWV files pre-selected by Chair were reviewed.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SSSW-</w:t>
            </w:r>
            <w:r>
              <w:rPr>
                <w:rFonts w:cs="Arial" w:ascii="Arial" w:hAnsi="Arial"/>
                <w:color w:val="000000" w:themeColor="text1"/>
              </w:rPr>
              <w:t>JR</w:t>
            </w:r>
            <w:r>
              <w:rPr>
                <w:rFonts w:cs="Arial" w:ascii="Arial" w:hAnsi="Arial"/>
                <w:color w:val="000000" w:themeColor="text1"/>
              </w:rPr>
              <w:t>-</w:t>
            </w:r>
            <w:r>
              <w:rPr>
                <w:rFonts w:cs="Arial" w:ascii="Arial" w:hAnsi="Arial"/>
                <w:color w:val="000000" w:themeColor="text1"/>
              </w:rPr>
              <w:t>219503991</w:t>
            </w:r>
            <w:r>
              <w:rPr>
                <w:rFonts w:cs="Arial" w:ascii="Arial" w:hAnsi="Arial"/>
                <w:color w:val="000000" w:themeColor="text1"/>
              </w:rPr>
              <w:t xml:space="preserve"> - panel agreed the search was </w:t>
            </w:r>
            <w:r>
              <w:rPr>
                <w:rFonts w:cs="Arial" w:ascii="Arial" w:hAnsi="Arial"/>
                <w:color w:val="000000" w:themeColor="text1"/>
                <w:sz w:val="22"/>
              </w:rPr>
              <w:t>good with very clear footage</w:t>
            </w:r>
            <w:r>
              <w:rPr>
                <w:rFonts w:cs="Arial" w:ascii="Arial" w:hAnsi="Arial"/>
                <w:color w:val="000000" w:themeColor="text1"/>
              </w:rPr>
              <w:t xml:space="preserve">. </w:t>
            </w:r>
            <w:r>
              <w:rPr>
                <w:rFonts w:cs="Arial" w:ascii="Arial" w:hAnsi="Arial"/>
                <w:color w:val="000000" w:themeColor="text1"/>
              </w:rPr>
              <w:t>NB voiced a slight concern around the position of the stop on main dual carriageway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SSSW-</w:t>
            </w:r>
            <w:r>
              <w:rPr>
                <w:rFonts w:cs="Arial" w:ascii="Arial" w:hAnsi="Arial"/>
                <w:color w:val="000000" w:themeColor="text1"/>
              </w:rPr>
              <w:t>ZB</w:t>
            </w:r>
            <w:r>
              <w:rPr>
                <w:rFonts w:cs="Arial" w:ascii="Arial" w:hAnsi="Arial"/>
                <w:color w:val="000000" w:themeColor="text1"/>
              </w:rPr>
              <w:t>-</w:t>
            </w:r>
            <w:r>
              <w:rPr>
                <w:rFonts w:cs="Arial" w:ascii="Arial" w:hAnsi="Arial"/>
                <w:color w:val="000000" w:themeColor="text1"/>
              </w:rPr>
              <w:t>218457195</w:t>
            </w:r>
            <w:r>
              <w:rPr>
                <w:rFonts w:cs="Arial" w:ascii="Arial" w:hAnsi="Arial"/>
                <w:color w:val="000000" w:themeColor="text1"/>
              </w:rPr>
              <w:t xml:space="preserve">- panel agreed the search was </w:t>
            </w:r>
            <w:r>
              <w:rPr>
                <w:rFonts w:cs="Arial" w:ascii="Arial" w:hAnsi="Arial"/>
                <w:color w:val="000000" w:themeColor="text1"/>
              </w:rPr>
              <w:t xml:space="preserve">good with a very thorough search, </w:t>
            </w:r>
            <w:r>
              <w:rPr>
                <w:rFonts w:cs="Arial" w:ascii="Arial" w:hAnsi="Arial"/>
                <w:color w:val="000000" w:themeColor="text1"/>
              </w:rPr>
              <w:t xml:space="preserve">Sgt </w:t>
            </w:r>
            <w:r>
              <w:rPr>
                <w:rFonts w:cs="Arial" w:ascii="Arial" w:hAnsi="Arial"/>
                <w:color w:val="000000" w:themeColor="text1"/>
              </w:rPr>
              <w:t>JG to pass on positive comments to officer concerned</w:t>
            </w:r>
            <w:r>
              <w:rPr>
                <w:rFonts w:cs="Arial" w:ascii="Arial" w:hAnsi="Arial"/>
                <w:color w:val="000000" w:themeColor="text1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SSSW-</w:t>
            </w:r>
            <w:r>
              <w:rPr>
                <w:rFonts w:cs="Arial" w:ascii="Arial" w:hAnsi="Arial"/>
                <w:color w:val="000000" w:themeColor="text1"/>
              </w:rPr>
              <w:t>UE</w:t>
            </w:r>
            <w:r>
              <w:rPr>
                <w:rFonts w:cs="Arial" w:ascii="Arial" w:hAnsi="Arial"/>
                <w:color w:val="000000" w:themeColor="text1"/>
              </w:rPr>
              <w:t>-</w:t>
            </w:r>
            <w:r>
              <w:rPr>
                <w:rFonts w:cs="Arial" w:ascii="Arial" w:hAnsi="Arial"/>
                <w:color w:val="000000" w:themeColor="text1"/>
              </w:rPr>
              <w:t>216527559</w:t>
            </w:r>
            <w:r>
              <w:rPr>
                <w:rFonts w:cs="Arial" w:ascii="Arial" w:hAnsi="Arial"/>
                <w:color w:val="000000" w:themeColor="text1"/>
              </w:rPr>
              <w:t xml:space="preserve"> panel agreed the </w:t>
            </w:r>
            <w:r>
              <w:rPr>
                <w:rFonts w:cs="Arial" w:ascii="Arial" w:hAnsi="Arial"/>
                <w:color w:val="000000" w:themeColor="text1"/>
                <w:sz w:val="22"/>
              </w:rPr>
              <w:t>officer concerned acted with great patience but concern was raised around safety risks of location close to live railway line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  <w:sz w:val="22"/>
              </w:rPr>
              <w:t>A short discussion was entered into regarding Cranston referral &amp;youngsters parents not necessarily being informed</w:t>
            </w:r>
            <w:r>
              <w:rPr>
                <w:rFonts w:cs="Arial" w:ascii="Arial" w:hAnsi="Arial"/>
                <w:color w:val="000000" w:themeColor="text1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SSSW-</w:t>
            </w:r>
            <w:r>
              <w:rPr>
                <w:rFonts w:cs="Arial" w:ascii="Arial" w:hAnsi="Arial"/>
                <w:color w:val="000000" w:themeColor="text1"/>
                <w:sz w:val="22"/>
              </w:rPr>
              <w:t>PX</w:t>
            </w:r>
            <w:r>
              <w:rPr>
                <w:rFonts w:cs="Arial" w:ascii="Arial" w:hAnsi="Arial"/>
                <w:color w:val="000000" w:themeColor="text1"/>
              </w:rPr>
              <w:t>-</w:t>
            </w:r>
            <w:r>
              <w:rPr>
                <w:rFonts w:cs="Arial" w:ascii="Arial" w:hAnsi="Arial"/>
                <w:color w:val="000000" w:themeColor="text1"/>
              </w:rPr>
              <w:t>215888551</w:t>
            </w:r>
            <w:r>
              <w:rPr>
                <w:rFonts w:cs="Arial" w:ascii="Arial" w:hAnsi="Arial"/>
                <w:color w:val="000000" w:themeColor="text1"/>
              </w:rPr>
              <w:t xml:space="preserve"> - panel agreed the search was fair and proportionate.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SSSW-WE-215001507- Panel agreed that the use of force in this stop was substantial but justified and </w:t>
            </w:r>
            <w:r>
              <w:rPr>
                <w:rFonts w:cs="Arial" w:ascii="Arial" w:hAnsi="Arial"/>
                <w:color w:val="000000" w:themeColor="text1"/>
              </w:rPr>
              <w:t>commended</w:t>
            </w:r>
            <w:r>
              <w:rPr>
                <w:rFonts w:cs="Arial" w:ascii="Arial" w:hAnsi="Arial"/>
                <w:color w:val="000000" w:themeColor="text1"/>
              </w:rPr>
              <w:t xml:space="preserve"> the officer for his restraint in not firing taser. The resulting search of subject and vehicle were good.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3.</w:t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  <w:t>Use of Force</w:t>
            </w:r>
            <w:r>
              <w:rPr>
                <w:rFonts w:cs="Arial" w:ascii="Arial" w:hAnsi="Arial"/>
                <w:color w:val="000000" w:themeColor="text1"/>
              </w:rPr>
              <w:t xml:space="preserve"> Body Worn Video  review – randomly selected by Chair DS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</w:rPr>
            </w:pPr>
            <w:r>
              <w:rPr>
                <w:rFonts w:cs="Arial" w:ascii="Arial" w:hAnsi="Arial"/>
                <w:b/>
                <w:color w:val="000000" w:themeColor="text1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</w:rPr>
              <w:t>Due to time constraints the selected Use of Force BWV was not viewed.</w:t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4.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Dip sample of Stop Search records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  <w:r>
              <w:rPr>
                <w:rFonts w:cs="Arial" w:ascii="Arial" w:hAnsi="Arial"/>
              </w:rPr>
              <w:t xml:space="preserve"> of the records dip-sampled by panel members were reviewed were agreed as good 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SSSW-BP-220639071 was noted as a very good, detailed recording and should be fed back to the officer concerned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SSSW-FL-219756231 was agreed to be very light on detail and the grounds were not clear </w:t>
            </w:r>
            <w:r>
              <w:rPr>
                <w:rFonts w:cs="Arial" w:ascii="Arial" w:hAnsi="Arial"/>
                <w:color w:val="000000" w:themeColor="text1"/>
              </w:rPr>
              <w:t xml:space="preserve">Sgt </w:t>
            </w:r>
            <w:r>
              <w:rPr>
                <w:rFonts w:cs="Arial" w:ascii="Arial" w:hAnsi="Arial"/>
                <w:color w:val="000000" w:themeColor="text1"/>
              </w:rPr>
              <w:t>JG to feed back to officer concerned</w:t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Review of data</w:t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The NFA outcome figures were seen as very high at 67% but positive outcomes in Sandwell are better than force average.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Use of Force BWV recorded numbers were agreed as too low and need to be improved ,ideally to above 90%.</w:t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6</w:t>
            </w:r>
            <w:r>
              <w:rPr>
                <w:rFonts w:cs="Arial" w:ascii="Arial" w:hAnsi="Arial"/>
                <w:color w:val="000000" w:themeColor="text1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AOB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Chair DS opened up the floor for any other business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Thanks to Sgt JG for adjusting the presentation of </w:t>
            </w:r>
            <w:r>
              <w:rPr>
                <w:rFonts w:cs="Arial" w:ascii="Arial" w:hAnsi="Arial"/>
                <w:color w:val="000000" w:themeColor="text1"/>
              </w:rPr>
              <w:t>data to include details requested by the panel</w:t>
            </w:r>
            <w:r>
              <w:rPr>
                <w:rFonts w:cs="Arial" w:ascii="Arial" w:hAnsi="Arial"/>
                <w:color w:val="000000" w:themeColor="text1"/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 w:themeColor="text1"/>
              </w:rPr>
            </w:pPr>
            <w:r>
              <w:rPr/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7</w:t>
            </w:r>
            <w:r>
              <w:rPr>
                <w:rFonts w:cs="Arial" w:ascii="Arial" w:hAnsi="Arial"/>
                <w:color w:val="000000" w:themeColor="text1"/>
              </w:rPr>
              <w:t>.</w:t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Actions for next meeting</w:t>
            </w:r>
          </w:p>
        </w:tc>
        <w:tc>
          <w:tcPr>
            <w:tcW w:w="448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</w:rPr>
              <w:t>No actions minuted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</w:rPr>
            </w:r>
          </w:p>
        </w:tc>
      </w:tr>
      <w:tr>
        <w:trPr/>
        <w:tc>
          <w:tcPr>
            <w:tcW w:w="559" w:type="dxa"/>
            <w:tcBorders/>
            <w:shd w:color="auto" w:fill="BDD6EE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8</w:t>
            </w:r>
            <w:r>
              <w:rPr>
                <w:rFonts w:cs="Arial" w:ascii="Arial" w:hAnsi="Arial"/>
                <w:color w:val="000000" w:themeColor="text1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39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Date and location of next panel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Wednesday </w:t>
            </w:r>
            <w:r>
              <w:rPr>
                <w:rFonts w:cs="Arial" w:ascii="Arial" w:hAnsi="Arial"/>
                <w:color w:val="000000" w:themeColor="text1"/>
                <w:sz w:val="22"/>
              </w:rPr>
              <w:t>10</w:t>
            </w:r>
            <w:r>
              <w:rPr>
                <w:rFonts w:cs="Arial" w:ascii="Arial" w:hAnsi="Arial"/>
                <w:color w:val="000000" w:themeColor="text1"/>
                <w:vertAlign w:val="superscript"/>
              </w:rPr>
              <w:t>th</w:t>
            </w:r>
            <w:r>
              <w:rPr>
                <w:rFonts w:cs="Arial" w:ascii="Arial" w:hAnsi="Arial"/>
                <w:color w:val="000000" w:themeColor="text1"/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</w:rPr>
              <w:t>July</w:t>
            </w:r>
            <w:r>
              <w:rPr>
                <w:rFonts w:cs="Arial" w:ascii="Arial" w:hAnsi="Arial"/>
                <w:color w:val="000000" w:themeColor="text1"/>
              </w:rPr>
              <w:t xml:space="preserve"> 2024 @17:30.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eastAsia="Calibri" w:cs="Arial" w:ascii="Arial" w:hAnsi="Arial"/>
                <w:color w:val="000000" w:themeColor="text1"/>
              </w:rPr>
              <w:t>West Bromwich</w:t>
            </w:r>
            <w:r>
              <w:rPr>
                <w:rFonts w:cs="Arial" w:ascii="Arial" w:hAnsi="Arial"/>
                <w:color w:val="000000" w:themeColor="text1"/>
              </w:rPr>
              <w:t xml:space="preserve"> Police Station </w:t>
            </w:r>
          </w:p>
        </w:tc>
      </w:tr>
    </w:tbl>
    <w:p>
      <w:pPr>
        <w:pStyle w:val="Normal"/>
        <w:spacing w:before="0" w:after="160"/>
        <w:jc w:val="both"/>
        <w:rPr>
          <w:rFonts w:ascii="Arial" w:hAnsi="Arial" w:cs="Arial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0" b="0"/>
          <wp:wrapSquare wrapText="bothSides"/>
          <wp:docPr id="3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6008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60080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60080"/>
    <w:pPr>
      <w:spacing w:before="0" w:after="160"/>
      <w:ind w:left="720" w:hanging="0"/>
      <w:contextualSpacing/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0d55b9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876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EFC0-159D-4DAD-A253-A5911A88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467</Words>
  <Characters>2321</Characters>
  <Application>LibreOffice/6.4.6.2$Windows_X86_64 LibreOffice_project/0ce51a4fd21bff07a5c061082cc82c5ed232f115</Application>
  <Paragraphs>64</Paragraphs>
  <CharactersWithSpaces>2864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9</cp:revision>
  <dcterms:created xsi:type="dcterms:W3CDTF">2024-03-06T16:38:00Z</dcterms:created>
  <dcterms:modified xsi:type="dcterms:W3CDTF">2024-04-25T20:25:39Z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West Midlands Police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